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:rsidR="00DB69DB" w:rsidRDefault="00DB69DB" w:rsidP="00DB69DB">
      <w:pPr>
        <w:spacing w:after="0" w:line="240" w:lineRule="auto"/>
      </w:pPr>
    </w:p>
    <w:p w:rsidR="00DB69DB" w:rsidRDefault="00DB69DB">
      <w:r>
        <w:t xml:space="preserve">Výroční zpráva dle § 18, zákona č. 106/1999 Sb., o svobodném přístupu k informacím za rok </w:t>
      </w:r>
      <w:r w:rsidRPr="00D70ACB">
        <w:rPr>
          <w:b/>
        </w:rPr>
        <w:t>20</w:t>
      </w:r>
      <w:r w:rsidR="00A7689D" w:rsidRPr="00D70ACB">
        <w:rPr>
          <w:b/>
        </w:rPr>
        <w:t>2</w:t>
      </w:r>
      <w:r w:rsidR="00043306" w:rsidRPr="00D70ACB">
        <w:rPr>
          <w:b/>
        </w:rPr>
        <w:t>2</w:t>
      </w:r>
    </w:p>
    <w:p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</w:t>
      </w:r>
      <w:r w:rsidRPr="00D70ACB">
        <w:rPr>
          <w:b/>
        </w:rPr>
        <w:t>20</w:t>
      </w:r>
      <w:r w:rsidR="00043306" w:rsidRPr="00D70ACB">
        <w:rPr>
          <w:b/>
        </w:rPr>
        <w:t>22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A7689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F344A5"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F344A5"/>
    <w:p w:rsidR="00F344A5" w:rsidRDefault="00F344A5" w:rsidP="00F344A5">
      <w:r>
        <w:t xml:space="preserve">Tato výroční zpráva je zveřejněna na oficiálních webových stránkách obce, </w:t>
      </w:r>
      <w:hyperlink r:id="rId6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:rsidR="00F344A5" w:rsidRDefault="00F344A5" w:rsidP="00F344A5"/>
    <w:p w:rsidR="00F344A5" w:rsidRDefault="00F344A5" w:rsidP="00F344A5">
      <w:r>
        <w:t>V </w:t>
      </w:r>
      <w:r w:rsidR="00B34A29">
        <w:t>Divákách</w:t>
      </w:r>
      <w:r>
        <w:t xml:space="preserve"> dne </w:t>
      </w:r>
      <w:proofErr w:type="gramStart"/>
      <w:r w:rsidR="00043306">
        <w:t>22</w:t>
      </w:r>
      <w:r w:rsidR="00F11DDD">
        <w:t>.2.20</w:t>
      </w:r>
      <w:r w:rsidR="00A7689D">
        <w:t>2</w:t>
      </w:r>
      <w:r w:rsidR="00D70ACB">
        <w:t>3</w:t>
      </w:r>
      <w:proofErr w:type="gramEnd"/>
    </w:p>
    <w:p w:rsidR="00F344A5" w:rsidRDefault="00F344A5" w:rsidP="00F344A5"/>
    <w:p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  <w:r w:rsidR="001E762A">
        <w:t>, v.r.</w:t>
      </w:r>
      <w:bookmarkStart w:id="0" w:name="_GoBack"/>
      <w:bookmarkEnd w:id="0"/>
    </w:p>
    <w:p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8A62AD" w:rsidRDefault="008A62AD" w:rsidP="008A62AD">
      <w:r>
        <w:t xml:space="preserve">Zveřejněno: </w:t>
      </w:r>
      <w:r w:rsidR="00E02152">
        <w:t>4</w:t>
      </w:r>
      <w:r>
        <w:t>.2.20</w:t>
      </w:r>
      <w:r w:rsidR="00A7689D">
        <w:t>2</w:t>
      </w:r>
      <w:r w:rsidR="00E02152">
        <w:t>2</w:t>
      </w:r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B"/>
    <w:rsid w:val="00043306"/>
    <w:rsid w:val="00083337"/>
    <w:rsid w:val="0018601D"/>
    <w:rsid w:val="00195C83"/>
    <w:rsid w:val="001E762A"/>
    <w:rsid w:val="002F3B08"/>
    <w:rsid w:val="00337053"/>
    <w:rsid w:val="003565FE"/>
    <w:rsid w:val="003B1531"/>
    <w:rsid w:val="008A62AD"/>
    <w:rsid w:val="009B4197"/>
    <w:rsid w:val="009E3D14"/>
    <w:rsid w:val="00A7689D"/>
    <w:rsid w:val="00B34A29"/>
    <w:rsid w:val="00BB400D"/>
    <w:rsid w:val="00BE53BB"/>
    <w:rsid w:val="00BE769A"/>
    <w:rsid w:val="00CA1FA3"/>
    <w:rsid w:val="00D40FCA"/>
    <w:rsid w:val="00D544CC"/>
    <w:rsid w:val="00D70ACB"/>
    <w:rsid w:val="00DB69DB"/>
    <w:rsid w:val="00DC2784"/>
    <w:rsid w:val="00E02152"/>
    <w:rsid w:val="00E3241B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4</cp:revision>
  <dcterms:created xsi:type="dcterms:W3CDTF">2023-02-22T07:33:00Z</dcterms:created>
  <dcterms:modified xsi:type="dcterms:W3CDTF">2023-02-22T07:34:00Z</dcterms:modified>
</cp:coreProperties>
</file>